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3546D" w14:textId="2A4C84B4" w:rsidR="00371DBF" w:rsidRPr="00B242B6" w:rsidRDefault="00371DBF" w:rsidP="00371DBF">
      <w:pPr>
        <w:keepNext/>
        <w:keepLines/>
        <w:spacing w:after="0" w:line="240" w:lineRule="auto"/>
        <w:jc w:val="right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  <w:bookmarkStart w:id="0" w:name="_Hlk57189558"/>
      <w:r w:rsidRPr="00B242B6">
        <w:rPr>
          <w:rFonts w:ascii="Arial" w:hAnsi="Arial" w:cs="Cambria"/>
          <w:b/>
          <w:bCs/>
          <w:color w:val="222A35" w:themeColor="text2" w:themeShade="80"/>
          <w:lang w:eastAsia="pl-PL"/>
        </w:rPr>
        <w:t xml:space="preserve">ZAŁĄCZNIK NR 3 </w:t>
      </w:r>
      <w:r w:rsidR="00332CA6">
        <w:rPr>
          <w:rFonts w:ascii="Arial" w:hAnsi="Arial" w:cs="Cambria"/>
          <w:b/>
          <w:bCs/>
          <w:color w:val="222A35" w:themeColor="text2" w:themeShade="80"/>
          <w:lang w:eastAsia="pl-PL"/>
        </w:rPr>
        <w:t xml:space="preserve">do umowy </w:t>
      </w:r>
      <w:r w:rsidRPr="00B242B6">
        <w:rPr>
          <w:rFonts w:ascii="Arial" w:hAnsi="Arial" w:cs="Cambria"/>
          <w:b/>
          <w:bCs/>
          <w:color w:val="222A35" w:themeColor="text2" w:themeShade="80"/>
          <w:lang w:eastAsia="pl-PL"/>
        </w:rPr>
        <w:t>– Katalog kar umownych</w:t>
      </w:r>
    </w:p>
    <w:p w14:paraId="330AD6CE" w14:textId="77777777" w:rsidR="00371DBF" w:rsidRPr="00B242B6" w:rsidRDefault="00371DBF" w:rsidP="00371DBF">
      <w:pPr>
        <w:keepNext/>
        <w:keepLines/>
        <w:spacing w:after="0" w:line="240" w:lineRule="auto"/>
        <w:outlineLvl w:val="1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DF6465" w14:textId="4DB08E9C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F5496" w:themeColor="accent1" w:themeShade="BF"/>
          <w:lang w:eastAsia="pl-PL"/>
        </w:rPr>
      </w:pPr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 xml:space="preserve">Nr sprawy:  </w:t>
      </w:r>
      <w:r w:rsidR="00AE73B1">
        <w:rPr>
          <w:rFonts w:ascii="Arial" w:hAnsi="Arial" w:cs="Cambria"/>
          <w:b/>
          <w:bCs/>
          <w:color w:val="2F5496" w:themeColor="accent1" w:themeShade="BF"/>
          <w:lang w:eastAsia="pl-PL"/>
        </w:rPr>
        <w:t>SA.II</w:t>
      </w:r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.261.2.</w:t>
      </w:r>
      <w:r w:rsidR="00347895">
        <w:rPr>
          <w:rFonts w:ascii="Arial" w:hAnsi="Arial" w:cs="Cambria"/>
          <w:b/>
          <w:bCs/>
          <w:color w:val="2F5496" w:themeColor="accent1" w:themeShade="BF"/>
          <w:lang w:eastAsia="pl-PL"/>
        </w:rPr>
        <w:t>103.</w:t>
      </w:r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202</w:t>
      </w:r>
      <w:r w:rsidR="00347895">
        <w:rPr>
          <w:rFonts w:ascii="Arial" w:hAnsi="Arial" w:cs="Cambria"/>
          <w:b/>
          <w:bCs/>
          <w:color w:val="2F5496" w:themeColor="accent1" w:themeShade="BF"/>
          <w:lang w:eastAsia="pl-PL"/>
        </w:rPr>
        <w:t>5</w:t>
      </w:r>
      <w:bookmarkStart w:id="1" w:name="_GoBack"/>
      <w:bookmarkEnd w:id="1"/>
      <w:r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.</w:t>
      </w:r>
      <w:r w:rsidR="00B242B6" w:rsidRPr="00B242B6">
        <w:rPr>
          <w:rFonts w:ascii="Arial" w:hAnsi="Arial" w:cs="Cambria"/>
          <w:b/>
          <w:bCs/>
          <w:color w:val="2F5496" w:themeColor="accent1" w:themeShade="BF"/>
          <w:lang w:eastAsia="pl-PL"/>
        </w:rPr>
        <w:t>IW</w:t>
      </w:r>
    </w:p>
    <w:bookmarkEnd w:id="0"/>
    <w:p w14:paraId="2837412F" w14:textId="6ACC7A1E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4175CD21" w14:textId="5F4B4B1F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b/>
          <w:bCs/>
          <w:color w:val="222A35" w:themeColor="text2" w:themeShade="80"/>
          <w:lang w:eastAsia="pl-PL"/>
        </w:rPr>
      </w:pPr>
    </w:p>
    <w:p w14:paraId="668DBFD2" w14:textId="79011573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  <w:r w:rsidRPr="00B242B6">
        <w:rPr>
          <w:rFonts w:ascii="Arial" w:hAnsi="Arial" w:cs="Cambria"/>
          <w:iCs/>
          <w:color w:val="222A35" w:themeColor="text2" w:themeShade="80"/>
          <w:lang w:eastAsia="pl-PL"/>
        </w:rPr>
        <w:t>Katalog kar umownych związany z niewłaściwym wykonywaniem przedmiotu umowy:</w:t>
      </w:r>
    </w:p>
    <w:p w14:paraId="39A0CD05" w14:textId="68E6168D" w:rsidR="00371DBF" w:rsidRPr="00B242B6" w:rsidRDefault="00371DBF" w:rsidP="00371DBF">
      <w:pPr>
        <w:tabs>
          <w:tab w:val="left" w:pos="567"/>
        </w:tabs>
        <w:spacing w:after="0" w:line="240" w:lineRule="auto"/>
        <w:rPr>
          <w:rFonts w:ascii="Arial" w:hAnsi="Arial" w:cs="Cambria"/>
          <w:iCs/>
          <w:color w:val="222A35" w:themeColor="text2" w:themeShade="80"/>
          <w:lang w:eastAsia="pl-PL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46"/>
        <w:gridCol w:w="3431"/>
        <w:gridCol w:w="2262"/>
        <w:gridCol w:w="2828"/>
      </w:tblGrid>
      <w:tr w:rsidR="00B242B6" w:rsidRPr="00B242B6" w14:paraId="7EC0F627" w14:textId="77777777" w:rsidTr="002B17CD">
        <w:trPr>
          <w:trHeight w:val="619"/>
        </w:trPr>
        <w:tc>
          <w:tcPr>
            <w:tcW w:w="546" w:type="dxa"/>
            <w:shd w:val="clear" w:color="auto" w:fill="D5DCE4" w:themeFill="text2" w:themeFillTint="33"/>
            <w:vAlign w:val="center"/>
          </w:tcPr>
          <w:p w14:paraId="5E684D1A" w14:textId="59EE2D18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Lp.</w:t>
            </w:r>
          </w:p>
        </w:tc>
        <w:tc>
          <w:tcPr>
            <w:tcW w:w="3431" w:type="dxa"/>
            <w:shd w:val="clear" w:color="auto" w:fill="D5DCE4" w:themeFill="text2" w:themeFillTint="33"/>
            <w:vAlign w:val="center"/>
          </w:tcPr>
          <w:p w14:paraId="6262D61B" w14:textId="4AF4B472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Czynność</w:t>
            </w:r>
          </w:p>
        </w:tc>
        <w:tc>
          <w:tcPr>
            <w:tcW w:w="2262" w:type="dxa"/>
            <w:shd w:val="clear" w:color="auto" w:fill="D5DCE4" w:themeFill="text2" w:themeFillTint="33"/>
            <w:vAlign w:val="center"/>
          </w:tcPr>
          <w:p w14:paraId="04BCA6B9" w14:textId="751F0180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Wysokość kary umownej</w:t>
            </w:r>
          </w:p>
        </w:tc>
        <w:tc>
          <w:tcPr>
            <w:tcW w:w="2828" w:type="dxa"/>
            <w:shd w:val="clear" w:color="auto" w:fill="D5DCE4" w:themeFill="text2" w:themeFillTint="33"/>
            <w:vAlign w:val="center"/>
          </w:tcPr>
          <w:p w14:paraId="5454C3AC" w14:textId="725CECCF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b/>
                <w:bCs/>
                <w:color w:val="222A35" w:themeColor="text2" w:themeShade="80"/>
                <w:lang w:eastAsia="pl-PL"/>
              </w:rPr>
              <w:t>Częstotliwość</w:t>
            </w:r>
          </w:p>
        </w:tc>
      </w:tr>
      <w:tr w:rsidR="00B242B6" w:rsidRPr="00B242B6" w14:paraId="783D6C17" w14:textId="77777777" w:rsidTr="002B17CD">
        <w:tc>
          <w:tcPr>
            <w:tcW w:w="546" w:type="dxa"/>
            <w:vAlign w:val="center"/>
          </w:tcPr>
          <w:p w14:paraId="4BB0315A" w14:textId="5CA6CAE6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1.</w:t>
            </w:r>
          </w:p>
        </w:tc>
        <w:tc>
          <w:tcPr>
            <w:tcW w:w="3431" w:type="dxa"/>
            <w:vAlign w:val="center"/>
          </w:tcPr>
          <w:p w14:paraId="416214D9" w14:textId="0CA65F09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Opróżnianie koszy na śmieci pojemników na odpady do segregacji.</w:t>
            </w:r>
          </w:p>
        </w:tc>
        <w:tc>
          <w:tcPr>
            <w:tcW w:w="2262" w:type="dxa"/>
            <w:vAlign w:val="center"/>
          </w:tcPr>
          <w:p w14:paraId="6AC6A9C9" w14:textId="2AA314DA" w:rsidR="00371DBF" w:rsidRPr="00B242B6" w:rsidRDefault="00371DBF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626C85DE" w14:textId="74E9CA94" w:rsidR="00371DBF" w:rsidRPr="00B242B6" w:rsidRDefault="00371DBF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="006956D2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w 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B242B6" w:rsidRPr="00B242B6" w14:paraId="2C57481E" w14:textId="77777777" w:rsidTr="002B17CD">
        <w:tc>
          <w:tcPr>
            <w:tcW w:w="546" w:type="dxa"/>
            <w:vAlign w:val="center"/>
          </w:tcPr>
          <w:p w14:paraId="6768A710" w14:textId="1B3AA66A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2.</w:t>
            </w:r>
          </w:p>
        </w:tc>
        <w:tc>
          <w:tcPr>
            <w:tcW w:w="3431" w:type="dxa"/>
            <w:vAlign w:val="center"/>
          </w:tcPr>
          <w:p w14:paraId="34DE02A1" w14:textId="479F68EB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Mycie powierzchni oszklonych </w:t>
            </w:r>
            <w:r w:rsidR="00BD3CD5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w drzwiach oraz luster </w:t>
            </w:r>
          </w:p>
        </w:tc>
        <w:tc>
          <w:tcPr>
            <w:tcW w:w="2262" w:type="dxa"/>
            <w:vAlign w:val="center"/>
          </w:tcPr>
          <w:p w14:paraId="4417B0F5" w14:textId="183A870A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20 zł</w:t>
            </w:r>
          </w:p>
        </w:tc>
        <w:tc>
          <w:tcPr>
            <w:tcW w:w="2828" w:type="dxa"/>
          </w:tcPr>
          <w:p w14:paraId="5BEC7201" w14:textId="74232B00" w:rsidR="00371DBF" w:rsidRPr="00B242B6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r w:rsidR="00E3314B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drzwi lub </w:t>
            </w:r>
            <w:proofErr w:type="gramStart"/>
            <w:r w:rsidR="00E3314B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lustro na 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B242B6" w:rsidRPr="00B242B6" w14:paraId="65BC504C" w14:textId="77777777" w:rsidTr="002B17CD">
        <w:tc>
          <w:tcPr>
            <w:tcW w:w="546" w:type="dxa"/>
            <w:vAlign w:val="center"/>
          </w:tcPr>
          <w:p w14:paraId="2B7677AC" w14:textId="3DAB656C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3.</w:t>
            </w:r>
          </w:p>
        </w:tc>
        <w:tc>
          <w:tcPr>
            <w:tcW w:w="3431" w:type="dxa"/>
            <w:vAlign w:val="center"/>
          </w:tcPr>
          <w:p w14:paraId="7AD9D3FA" w14:textId="5E99BB62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Sprzątanie pomieszczeń</w:t>
            </w:r>
          </w:p>
        </w:tc>
        <w:tc>
          <w:tcPr>
            <w:tcW w:w="2262" w:type="dxa"/>
            <w:vAlign w:val="center"/>
          </w:tcPr>
          <w:p w14:paraId="11A61D80" w14:textId="40106DBE" w:rsidR="00371DBF" w:rsidRPr="00B242B6" w:rsidRDefault="006956D2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100 </w:t>
            </w:r>
            <w:r w:rsidR="00E3314B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z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ł</w:t>
            </w:r>
          </w:p>
        </w:tc>
        <w:tc>
          <w:tcPr>
            <w:tcW w:w="2828" w:type="dxa"/>
          </w:tcPr>
          <w:p w14:paraId="2CC67EC2" w14:textId="4AB67884" w:rsidR="00371DBF" w:rsidRPr="00B242B6" w:rsidRDefault="006956D2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</w:t>
            </w:r>
            <w:proofErr w:type="gramStart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  <w:tr w:rsidR="00B242B6" w:rsidRPr="00B242B6" w14:paraId="17CDF648" w14:textId="77777777" w:rsidTr="002B17CD">
        <w:tc>
          <w:tcPr>
            <w:tcW w:w="546" w:type="dxa"/>
            <w:vAlign w:val="center"/>
          </w:tcPr>
          <w:p w14:paraId="04615804" w14:textId="47B07D3C" w:rsidR="00371DBF" w:rsidRPr="00B242B6" w:rsidRDefault="00BD3CD5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5.</w:t>
            </w:r>
          </w:p>
        </w:tc>
        <w:tc>
          <w:tcPr>
            <w:tcW w:w="3431" w:type="dxa"/>
            <w:vAlign w:val="center"/>
          </w:tcPr>
          <w:p w14:paraId="257A5437" w14:textId="772418CD" w:rsidR="00371DBF" w:rsidRPr="00B242B6" w:rsidRDefault="00E3314B" w:rsidP="00BD3CD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Uzupełnianie papier</w:t>
            </w:r>
            <w:r w:rsidR="00EB57D9"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u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toaletowego, ręczników papierowych, mydła oraz płynu do mycia naczyń</w:t>
            </w:r>
          </w:p>
        </w:tc>
        <w:tc>
          <w:tcPr>
            <w:tcW w:w="2262" w:type="dxa"/>
            <w:vAlign w:val="center"/>
          </w:tcPr>
          <w:p w14:paraId="60FD95C0" w14:textId="1C0983C3" w:rsidR="00371DBF" w:rsidRPr="00B242B6" w:rsidRDefault="00E3314B" w:rsidP="00BD3CD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>100 zł</w:t>
            </w:r>
          </w:p>
        </w:tc>
        <w:tc>
          <w:tcPr>
            <w:tcW w:w="2828" w:type="dxa"/>
          </w:tcPr>
          <w:p w14:paraId="7B66C36F" w14:textId="7A1A59B4" w:rsidR="00371DBF" w:rsidRPr="00B242B6" w:rsidRDefault="00E3314B" w:rsidP="00371DBF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</w:pP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za każde </w:t>
            </w:r>
            <w:proofErr w:type="gramStart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pomieszczenie </w:t>
            </w:r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br/>
              <w:t>w którym</w:t>
            </w:r>
            <w:proofErr w:type="gramEnd"/>
            <w:r w:rsidRPr="00B242B6">
              <w:rPr>
                <w:rFonts w:ascii="Arial" w:hAnsi="Arial" w:cs="Arial"/>
                <w:iCs/>
                <w:color w:val="222A35" w:themeColor="text2" w:themeShade="80"/>
                <w:lang w:eastAsia="pl-PL"/>
              </w:rPr>
              <w:t xml:space="preserve"> stwierdzono niewłaściwe wykonanie umowy</w:t>
            </w:r>
          </w:p>
        </w:tc>
      </w:tr>
    </w:tbl>
    <w:p w14:paraId="5DFC01FA" w14:textId="77777777" w:rsidR="00371DBF" w:rsidRPr="00371DBF" w:rsidRDefault="00371DBF" w:rsidP="00371DBF">
      <w:pPr>
        <w:tabs>
          <w:tab w:val="left" w:pos="567"/>
        </w:tabs>
        <w:spacing w:after="0" w:line="240" w:lineRule="auto"/>
        <w:rPr>
          <w:rFonts w:ascii="Arial" w:hAnsi="Arial" w:cs="Arial"/>
          <w:iCs/>
          <w:color w:val="222A35" w:themeColor="text2" w:themeShade="80"/>
          <w:lang w:eastAsia="pl-PL"/>
        </w:rPr>
      </w:pPr>
    </w:p>
    <w:p w14:paraId="015D1C29" w14:textId="2D7FF0CD" w:rsidR="0025164B" w:rsidRDefault="00347895"/>
    <w:p w14:paraId="2045A8C3" w14:textId="52F420F8" w:rsidR="00371DBF" w:rsidRDefault="00371DBF" w:rsidP="00371DBF">
      <w:pPr>
        <w:jc w:val="center"/>
      </w:pPr>
    </w:p>
    <w:sectPr w:rsidR="00371D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FBB"/>
    <w:rsid w:val="000D6FBB"/>
    <w:rsid w:val="001E1D6A"/>
    <w:rsid w:val="002B17CD"/>
    <w:rsid w:val="002B5688"/>
    <w:rsid w:val="00332CA6"/>
    <w:rsid w:val="00347895"/>
    <w:rsid w:val="00371DBF"/>
    <w:rsid w:val="00440BB9"/>
    <w:rsid w:val="006956D2"/>
    <w:rsid w:val="00986F27"/>
    <w:rsid w:val="00AE73B1"/>
    <w:rsid w:val="00B242B6"/>
    <w:rsid w:val="00B9632E"/>
    <w:rsid w:val="00BD3CD5"/>
    <w:rsid w:val="00E3314B"/>
    <w:rsid w:val="00EB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9E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1DBF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71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111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Marchlik</dc:creator>
  <cp:keywords/>
  <dc:description/>
  <cp:lastModifiedBy>Izabela Wawrzyniak-Karłowska</cp:lastModifiedBy>
  <cp:revision>11</cp:revision>
  <dcterms:created xsi:type="dcterms:W3CDTF">2020-11-24T13:43:00Z</dcterms:created>
  <dcterms:modified xsi:type="dcterms:W3CDTF">2025-12-22T07:34:00Z</dcterms:modified>
</cp:coreProperties>
</file>